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D25" w:rsidRPr="00417D71" w:rsidRDefault="00F04D25" w:rsidP="00F04D25">
      <w:pPr>
        <w:spacing w:after="0"/>
        <w:rPr>
          <w:rFonts w:cs="Calibri"/>
          <w:b/>
          <w:sz w:val="28"/>
        </w:rPr>
      </w:pPr>
      <w:r w:rsidRPr="00417D71">
        <w:rPr>
          <w:rFonts w:cs="Calibri"/>
          <w:b/>
          <w:sz w:val="28"/>
        </w:rPr>
        <w:t xml:space="preserve">Appendix </w:t>
      </w:r>
      <w:r>
        <w:rPr>
          <w:rFonts w:cs="Calibri"/>
          <w:b/>
          <w:sz w:val="28"/>
        </w:rPr>
        <w:t>7.</w:t>
      </w:r>
      <w:r>
        <w:rPr>
          <w:rFonts w:cs="Calibri"/>
          <w:b/>
          <w:sz w:val="28"/>
        </w:rPr>
        <w:t xml:space="preserve">1, </w:t>
      </w:r>
      <w:r w:rsidRPr="00417D71">
        <w:rPr>
          <w:rFonts w:cs="Calibri"/>
          <w:b/>
          <w:sz w:val="28"/>
        </w:rPr>
        <w:t>Safe</w:t>
      </w:r>
      <w:r w:rsidRPr="00417D71">
        <w:rPr>
          <w:rFonts w:cs="Calibri"/>
          <w:b/>
          <w:sz w:val="28"/>
        </w:rPr>
        <w:t xml:space="preserve"> Work Procedure Template</w:t>
      </w:r>
    </w:p>
    <w:p w:rsidR="00F04D25" w:rsidRDefault="00F04D25" w:rsidP="00F04D25">
      <w:pPr>
        <w:pStyle w:val="ListParagraph"/>
        <w:spacing w:after="0"/>
        <w:ind w:left="0"/>
        <w:rPr>
          <w:rFonts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7"/>
        <w:gridCol w:w="7139"/>
      </w:tblGrid>
      <w:tr w:rsidR="00F04D25" w:rsidRPr="00417D71" w:rsidTr="007C1374">
        <w:trPr>
          <w:tblHeader/>
          <w:jc w:val="center"/>
        </w:trPr>
        <w:tc>
          <w:tcPr>
            <w:tcW w:w="1070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F04D25" w:rsidRPr="00417D71" w:rsidRDefault="00F04D25" w:rsidP="007C1374">
            <w:pPr>
              <w:keepNext/>
              <w:spacing w:before="120" w:after="120" w:line="240" w:lineRule="auto"/>
              <w:jc w:val="center"/>
              <w:outlineLvl w:val="0"/>
              <w:rPr>
                <w:rFonts w:ascii="Arial" w:eastAsia="Times New Roman" w:hAnsi="Arial"/>
                <w:b/>
                <w:sz w:val="28"/>
                <w:szCs w:val="28"/>
              </w:rPr>
            </w:pPr>
            <w:r w:rsidRPr="00417D71">
              <w:rPr>
                <w:rFonts w:ascii="Arial" w:eastAsia="Times New Roman" w:hAnsi="Arial"/>
                <w:b/>
                <w:sz w:val="28"/>
                <w:szCs w:val="28"/>
              </w:rPr>
              <w:t>Name</w:t>
            </w:r>
          </w:p>
        </w:tc>
      </w:tr>
      <w:tr w:rsidR="00F04D25" w:rsidRPr="00417D71" w:rsidTr="007C1374">
        <w:trPr>
          <w:jc w:val="center"/>
        </w:trPr>
        <w:tc>
          <w:tcPr>
            <w:tcW w:w="3567" w:type="dxa"/>
            <w:tcBorders>
              <w:top w:val="single" w:sz="18" w:space="0" w:color="auto"/>
            </w:tcBorders>
          </w:tcPr>
          <w:p w:rsidR="00F04D25" w:rsidRPr="00417D71" w:rsidRDefault="00F04D25" w:rsidP="007C1374">
            <w:pPr>
              <w:keepNext/>
              <w:spacing w:before="120" w:after="0" w:line="240" w:lineRule="auto"/>
              <w:outlineLvl w:val="0"/>
              <w:rPr>
                <w:rFonts w:ascii="Arial" w:eastAsia="Times New Roman" w:hAnsi="Arial"/>
                <w:b/>
                <w:sz w:val="24"/>
                <w:szCs w:val="20"/>
              </w:rPr>
            </w:pPr>
            <w:r w:rsidRPr="00417D71">
              <w:rPr>
                <w:rFonts w:ascii="Arial" w:eastAsia="Times New Roman" w:hAnsi="Arial"/>
                <w:b/>
                <w:sz w:val="24"/>
                <w:szCs w:val="20"/>
              </w:rPr>
              <w:t>Hazards Identified</w:t>
            </w:r>
          </w:p>
          <w:p w:rsidR="00F04D25" w:rsidRPr="00417D71" w:rsidRDefault="00F04D25" w:rsidP="007C1374">
            <w:pPr>
              <w:spacing w:after="0" w:line="240" w:lineRule="auto"/>
              <w:rPr>
                <w:rFonts w:ascii="Arial" w:eastAsia="Times New Roman" w:hAnsi="Arial"/>
                <w:sz w:val="28"/>
                <w:szCs w:val="20"/>
              </w:rPr>
            </w:pPr>
          </w:p>
        </w:tc>
        <w:tc>
          <w:tcPr>
            <w:tcW w:w="7139" w:type="dxa"/>
            <w:tcBorders>
              <w:top w:val="single" w:sz="18" w:space="0" w:color="auto"/>
            </w:tcBorders>
          </w:tcPr>
          <w:p w:rsidR="00F04D25" w:rsidRPr="00417D71" w:rsidRDefault="00F04D25" w:rsidP="00F04D25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eastAsia="Times New Roman" w:hAnsi="Arial"/>
                <w:sz w:val="24"/>
                <w:szCs w:val="20"/>
              </w:rPr>
            </w:pPr>
          </w:p>
        </w:tc>
      </w:tr>
      <w:tr w:rsidR="00F04D25" w:rsidRPr="00417D71" w:rsidTr="007C1374">
        <w:trPr>
          <w:jc w:val="center"/>
        </w:trPr>
        <w:tc>
          <w:tcPr>
            <w:tcW w:w="3567" w:type="dxa"/>
          </w:tcPr>
          <w:p w:rsidR="00F04D25" w:rsidRPr="00417D71" w:rsidRDefault="00F04D25" w:rsidP="007C13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/>
                <w:b/>
                <w:sz w:val="12"/>
                <w:szCs w:val="20"/>
              </w:rPr>
            </w:pPr>
          </w:p>
          <w:p w:rsidR="00F04D25" w:rsidRPr="00417D71" w:rsidRDefault="00F04D25" w:rsidP="007C1374">
            <w:pPr>
              <w:spacing w:after="120" w:line="240" w:lineRule="auto"/>
              <w:rPr>
                <w:rFonts w:ascii="Arial" w:eastAsia="Times New Roman" w:hAnsi="Arial"/>
                <w:b/>
                <w:sz w:val="24"/>
                <w:szCs w:val="20"/>
              </w:rPr>
            </w:pPr>
            <w:r w:rsidRPr="00417D71">
              <w:rPr>
                <w:rFonts w:ascii="Arial" w:eastAsia="Times New Roman" w:hAnsi="Arial"/>
                <w:b/>
                <w:sz w:val="24"/>
                <w:szCs w:val="20"/>
              </w:rPr>
              <w:t>Hazard-Specific Personal Protective Equipment</w:t>
            </w:r>
          </w:p>
        </w:tc>
        <w:tc>
          <w:tcPr>
            <w:tcW w:w="7139" w:type="dxa"/>
          </w:tcPr>
          <w:p w:rsidR="00F04D25" w:rsidRPr="00417D71" w:rsidRDefault="00F04D25" w:rsidP="00F04D2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</w:p>
        </w:tc>
      </w:tr>
      <w:tr w:rsidR="00F04D25" w:rsidRPr="00417D71" w:rsidTr="007C1374">
        <w:trPr>
          <w:jc w:val="center"/>
        </w:trPr>
        <w:tc>
          <w:tcPr>
            <w:tcW w:w="3567" w:type="dxa"/>
            <w:tcBorders>
              <w:bottom w:val="single" w:sz="4" w:space="0" w:color="auto"/>
            </w:tcBorders>
          </w:tcPr>
          <w:p w:rsidR="00F04D25" w:rsidRPr="00417D71" w:rsidRDefault="00F04D25" w:rsidP="007C1374">
            <w:pPr>
              <w:keepNext/>
              <w:spacing w:before="120" w:after="0" w:line="240" w:lineRule="auto"/>
              <w:outlineLvl w:val="1"/>
              <w:rPr>
                <w:rFonts w:ascii="Arial" w:eastAsia="Times New Roman" w:hAnsi="Arial"/>
                <w:b/>
                <w:sz w:val="24"/>
                <w:szCs w:val="20"/>
              </w:rPr>
            </w:pPr>
            <w:r w:rsidRPr="00417D71">
              <w:rPr>
                <w:rFonts w:ascii="Arial" w:eastAsia="Times New Roman" w:hAnsi="Arial"/>
                <w:b/>
                <w:sz w:val="24"/>
                <w:szCs w:val="20"/>
              </w:rPr>
              <w:t>Hazard-Specific Training/Education</w:t>
            </w:r>
          </w:p>
          <w:p w:rsidR="00F04D25" w:rsidRPr="00417D71" w:rsidRDefault="00F04D25" w:rsidP="007C1374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 w:rsidRPr="00417D71">
              <w:rPr>
                <w:rFonts w:ascii="Arial" w:eastAsia="Times New Roman" w:hAnsi="Arial"/>
                <w:sz w:val="24"/>
                <w:szCs w:val="20"/>
              </w:rPr>
              <w:t xml:space="preserve">                                        </w:t>
            </w:r>
          </w:p>
        </w:tc>
        <w:tc>
          <w:tcPr>
            <w:tcW w:w="7139" w:type="dxa"/>
            <w:tcBorders>
              <w:bottom w:val="single" w:sz="4" w:space="0" w:color="auto"/>
            </w:tcBorders>
          </w:tcPr>
          <w:p w:rsidR="00F04D25" w:rsidRPr="00417D71" w:rsidRDefault="00F04D25" w:rsidP="00F04D25">
            <w:pPr>
              <w:numPr>
                <w:ilvl w:val="0"/>
                <w:numId w:val="3"/>
              </w:numPr>
              <w:spacing w:after="120" w:line="240" w:lineRule="auto"/>
              <w:rPr>
                <w:rFonts w:ascii="Arial" w:eastAsia="Times New Roman" w:hAnsi="Arial"/>
                <w:sz w:val="24"/>
                <w:szCs w:val="20"/>
              </w:rPr>
            </w:pPr>
          </w:p>
        </w:tc>
      </w:tr>
      <w:tr w:rsidR="00F04D25" w:rsidRPr="00417D71" w:rsidTr="007C1374">
        <w:trPr>
          <w:jc w:val="center"/>
        </w:trPr>
        <w:tc>
          <w:tcPr>
            <w:tcW w:w="3567" w:type="dxa"/>
            <w:tcBorders>
              <w:bottom w:val="single" w:sz="18" w:space="0" w:color="auto"/>
            </w:tcBorders>
          </w:tcPr>
          <w:p w:rsidR="00F04D25" w:rsidRPr="00417D71" w:rsidRDefault="00F04D25" w:rsidP="007C1374">
            <w:pPr>
              <w:keepNext/>
              <w:spacing w:after="0" w:line="240" w:lineRule="auto"/>
              <w:outlineLvl w:val="0"/>
              <w:rPr>
                <w:rFonts w:ascii="Arial" w:eastAsia="Times New Roman" w:hAnsi="Arial"/>
                <w:b/>
                <w:sz w:val="12"/>
                <w:szCs w:val="20"/>
              </w:rPr>
            </w:pPr>
          </w:p>
          <w:p w:rsidR="00F04D25" w:rsidRPr="00417D71" w:rsidRDefault="00F04D25" w:rsidP="007C1374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</w:rPr>
            </w:pPr>
            <w:r w:rsidRPr="00417D71">
              <w:rPr>
                <w:rFonts w:ascii="Arial" w:eastAsia="Times New Roman" w:hAnsi="Arial"/>
                <w:b/>
                <w:sz w:val="24"/>
                <w:szCs w:val="20"/>
              </w:rPr>
              <w:t>Related Safe Work Practices and Procedures</w:t>
            </w:r>
          </w:p>
        </w:tc>
        <w:tc>
          <w:tcPr>
            <w:tcW w:w="7139" w:type="dxa"/>
            <w:tcBorders>
              <w:bottom w:val="single" w:sz="18" w:space="0" w:color="auto"/>
            </w:tcBorders>
          </w:tcPr>
          <w:p w:rsidR="00F04D25" w:rsidRPr="00417D71" w:rsidRDefault="00F04D25" w:rsidP="00F04D25">
            <w:pPr>
              <w:numPr>
                <w:ilvl w:val="0"/>
                <w:numId w:val="2"/>
              </w:numPr>
              <w:spacing w:after="120" w:line="240" w:lineRule="auto"/>
              <w:rPr>
                <w:rFonts w:ascii="Arial" w:eastAsia="Times New Roman" w:hAnsi="Arial"/>
                <w:sz w:val="24"/>
                <w:szCs w:val="20"/>
              </w:rPr>
            </w:pPr>
          </w:p>
        </w:tc>
      </w:tr>
      <w:tr w:rsidR="00F04D25" w:rsidRPr="00417D71" w:rsidTr="007C1374">
        <w:trPr>
          <w:jc w:val="center"/>
        </w:trPr>
        <w:tc>
          <w:tcPr>
            <w:tcW w:w="10706" w:type="dxa"/>
            <w:gridSpan w:val="2"/>
            <w:tcBorders>
              <w:bottom w:val="single" w:sz="18" w:space="0" w:color="auto"/>
            </w:tcBorders>
          </w:tcPr>
          <w:p w:rsidR="00F04D25" w:rsidRPr="00417D71" w:rsidRDefault="00F04D25" w:rsidP="007C1374">
            <w:pPr>
              <w:spacing w:after="120" w:line="240" w:lineRule="auto"/>
              <w:rPr>
                <w:rFonts w:ascii="Arial" w:eastAsia="Times New Roman" w:hAnsi="Arial"/>
                <w:b/>
                <w:sz w:val="24"/>
                <w:szCs w:val="20"/>
              </w:rPr>
            </w:pPr>
            <w:r w:rsidRPr="00417D71">
              <w:rPr>
                <w:rFonts w:ascii="Arial" w:eastAsia="Times New Roman" w:hAnsi="Arial"/>
                <w:b/>
                <w:sz w:val="24"/>
                <w:szCs w:val="20"/>
                <w:u w:val="single"/>
              </w:rPr>
              <w:t xml:space="preserve">Risk Rating:  </w:t>
            </w:r>
            <w:r w:rsidRPr="00417D71">
              <w:rPr>
                <w:rFonts w:ascii="Arial" w:eastAsia="Times New Roman" w:hAnsi="Arial"/>
                <w:b/>
                <w:sz w:val="24"/>
                <w:szCs w:val="20"/>
              </w:rPr>
              <w:t xml:space="preserve"> </w:t>
            </w:r>
          </w:p>
          <w:p w:rsidR="00F04D25" w:rsidRPr="00417D71" w:rsidRDefault="00F04D25" w:rsidP="007C1374">
            <w:pPr>
              <w:spacing w:after="120" w:line="240" w:lineRule="auto"/>
              <w:rPr>
                <w:rFonts w:ascii="Arial" w:eastAsia="Times New Roman" w:hAnsi="Arial"/>
                <w:b/>
                <w:sz w:val="24"/>
                <w:szCs w:val="20"/>
              </w:rPr>
            </w:pPr>
            <w:r w:rsidRPr="00417D71">
              <w:rPr>
                <w:rFonts w:ascii="Arial" w:eastAsia="Times New Roman" w:hAnsi="Arial"/>
                <w:b/>
                <w:sz w:val="24"/>
                <w:szCs w:val="20"/>
              </w:rPr>
              <w:t xml:space="preserve">Probability = </w:t>
            </w:r>
          </w:p>
          <w:p w:rsidR="00F04D25" w:rsidRPr="00417D71" w:rsidRDefault="00F04D25" w:rsidP="007C1374">
            <w:pPr>
              <w:spacing w:after="120" w:line="240" w:lineRule="auto"/>
              <w:rPr>
                <w:rFonts w:ascii="Arial" w:eastAsia="Times New Roman" w:hAnsi="Arial"/>
                <w:b/>
                <w:sz w:val="24"/>
                <w:szCs w:val="20"/>
              </w:rPr>
            </w:pPr>
            <w:r w:rsidRPr="00417D71">
              <w:rPr>
                <w:rFonts w:ascii="Arial" w:eastAsia="Times New Roman" w:hAnsi="Arial"/>
                <w:b/>
                <w:sz w:val="24"/>
                <w:szCs w:val="20"/>
              </w:rPr>
              <w:t xml:space="preserve">Severity = </w:t>
            </w:r>
          </w:p>
          <w:p w:rsidR="00F04D25" w:rsidRPr="00417D71" w:rsidRDefault="00F04D25" w:rsidP="007C1374">
            <w:pPr>
              <w:spacing w:after="120" w:line="240" w:lineRule="auto"/>
              <w:rPr>
                <w:rFonts w:ascii="Arial" w:eastAsia="Times New Roman" w:hAnsi="Arial"/>
                <w:b/>
                <w:sz w:val="24"/>
                <w:szCs w:val="20"/>
              </w:rPr>
            </w:pPr>
            <w:r w:rsidRPr="00417D71">
              <w:rPr>
                <w:rFonts w:ascii="Arial" w:eastAsia="Times New Roman" w:hAnsi="Arial"/>
                <w:b/>
                <w:sz w:val="24"/>
                <w:szCs w:val="20"/>
              </w:rPr>
              <w:t xml:space="preserve">Score = </w:t>
            </w:r>
          </w:p>
          <w:p w:rsidR="00F04D25" w:rsidRPr="00417D71" w:rsidRDefault="00F04D25" w:rsidP="007C1374">
            <w:pPr>
              <w:spacing w:after="120" w:line="240" w:lineRule="auto"/>
              <w:rPr>
                <w:rFonts w:ascii="Arial" w:eastAsia="Times New Roman" w:hAnsi="Arial"/>
                <w:b/>
                <w:sz w:val="24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6"/>
              <w:gridCol w:w="1428"/>
              <w:gridCol w:w="1555"/>
              <w:gridCol w:w="830"/>
              <w:gridCol w:w="1224"/>
              <w:gridCol w:w="817"/>
              <w:gridCol w:w="1608"/>
            </w:tblGrid>
            <w:tr w:rsidR="00F04D25" w:rsidRPr="00417D71" w:rsidTr="007C1374">
              <w:trPr>
                <w:trHeight w:val="355"/>
              </w:trPr>
              <w:tc>
                <w:tcPr>
                  <w:tcW w:w="163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28" w:type="dxa"/>
                  <w:vMerge w:val="restart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34" w:type="dxa"/>
                  <w:gridSpan w:val="5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 xml:space="preserve">Severity (consequence of exposure) </w:t>
                  </w:r>
                </w:p>
              </w:tc>
            </w:tr>
            <w:tr w:rsidR="00F04D25" w:rsidRPr="00417D71" w:rsidTr="007C1374">
              <w:trPr>
                <w:trHeight w:val="615"/>
              </w:trPr>
              <w:tc>
                <w:tcPr>
                  <w:tcW w:w="1636" w:type="dxa"/>
                  <w:tcBorders>
                    <w:top w:val="nil"/>
                    <w:left w:val="nil"/>
                  </w:tcBorders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28" w:type="dxa"/>
                  <w:vMerge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5" w:type="dxa"/>
                  <w:shd w:val="clear" w:color="auto" w:fill="FFFFFF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Insignificant (1)</w:t>
                  </w:r>
                </w:p>
              </w:tc>
              <w:tc>
                <w:tcPr>
                  <w:tcW w:w="830" w:type="dxa"/>
                  <w:shd w:val="clear" w:color="auto" w:fill="FFFFFF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Minor (2)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Moderate (3)</w:t>
                  </w:r>
                </w:p>
              </w:tc>
              <w:tc>
                <w:tcPr>
                  <w:tcW w:w="817" w:type="dxa"/>
                  <w:shd w:val="clear" w:color="auto" w:fill="FFFFFF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Major (4)</w:t>
                  </w:r>
                </w:p>
              </w:tc>
              <w:tc>
                <w:tcPr>
                  <w:tcW w:w="1606" w:type="dxa"/>
                  <w:shd w:val="clear" w:color="auto" w:fill="FFFFFF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Catastrophic (5)</w:t>
                  </w:r>
                </w:p>
              </w:tc>
            </w:tr>
            <w:tr w:rsidR="00F04D25" w:rsidRPr="00417D71" w:rsidTr="007C1374">
              <w:trPr>
                <w:trHeight w:val="355"/>
              </w:trPr>
              <w:tc>
                <w:tcPr>
                  <w:tcW w:w="1636" w:type="dxa"/>
                  <w:vMerge w:val="restart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Probability (likelihood of occurrence)</w:t>
                  </w:r>
                </w:p>
              </w:tc>
              <w:tc>
                <w:tcPr>
                  <w:tcW w:w="1428" w:type="dxa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 xml:space="preserve">Certain (5) </w:t>
                  </w:r>
                </w:p>
              </w:tc>
              <w:tc>
                <w:tcPr>
                  <w:tcW w:w="1555" w:type="dxa"/>
                  <w:shd w:val="clear" w:color="auto" w:fill="9CC2E5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5</w:t>
                  </w:r>
                </w:p>
              </w:tc>
              <w:tc>
                <w:tcPr>
                  <w:tcW w:w="830" w:type="dxa"/>
                  <w:shd w:val="clear" w:color="auto" w:fill="FF7C80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10</w:t>
                  </w:r>
                </w:p>
              </w:tc>
              <w:tc>
                <w:tcPr>
                  <w:tcW w:w="1224" w:type="dxa"/>
                  <w:shd w:val="clear" w:color="auto" w:fill="FF7C80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15</w:t>
                  </w:r>
                </w:p>
              </w:tc>
              <w:tc>
                <w:tcPr>
                  <w:tcW w:w="817" w:type="dxa"/>
                  <w:shd w:val="clear" w:color="auto" w:fill="8064A2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20</w:t>
                  </w:r>
                </w:p>
              </w:tc>
              <w:tc>
                <w:tcPr>
                  <w:tcW w:w="1606" w:type="dxa"/>
                  <w:shd w:val="clear" w:color="auto" w:fill="8064A2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25</w:t>
                  </w:r>
                </w:p>
              </w:tc>
            </w:tr>
            <w:tr w:rsidR="00F04D25" w:rsidRPr="00417D71" w:rsidTr="007C1374">
              <w:trPr>
                <w:trHeight w:val="369"/>
              </w:trPr>
              <w:tc>
                <w:tcPr>
                  <w:tcW w:w="1636" w:type="dxa"/>
                  <w:vMerge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428" w:type="dxa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Likely (4)</w:t>
                  </w:r>
                </w:p>
              </w:tc>
              <w:tc>
                <w:tcPr>
                  <w:tcW w:w="1555" w:type="dxa"/>
                  <w:shd w:val="clear" w:color="auto" w:fill="9CC2E5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30" w:type="dxa"/>
                  <w:shd w:val="clear" w:color="auto" w:fill="9CC2E5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8</w:t>
                  </w:r>
                </w:p>
              </w:tc>
              <w:tc>
                <w:tcPr>
                  <w:tcW w:w="1224" w:type="dxa"/>
                  <w:shd w:val="clear" w:color="auto" w:fill="FF7C80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12</w:t>
                  </w:r>
                </w:p>
              </w:tc>
              <w:tc>
                <w:tcPr>
                  <w:tcW w:w="817" w:type="dxa"/>
                  <w:shd w:val="clear" w:color="auto" w:fill="8064A2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16</w:t>
                  </w:r>
                </w:p>
              </w:tc>
              <w:tc>
                <w:tcPr>
                  <w:tcW w:w="1606" w:type="dxa"/>
                  <w:shd w:val="clear" w:color="auto" w:fill="8064A2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20</w:t>
                  </w:r>
                </w:p>
              </w:tc>
            </w:tr>
            <w:tr w:rsidR="00F04D25" w:rsidRPr="00417D71" w:rsidTr="007C1374">
              <w:trPr>
                <w:trHeight w:val="615"/>
              </w:trPr>
              <w:tc>
                <w:tcPr>
                  <w:tcW w:w="1636" w:type="dxa"/>
                  <w:vMerge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428" w:type="dxa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 xml:space="preserve">Occasional (3) </w:t>
                  </w:r>
                </w:p>
              </w:tc>
              <w:tc>
                <w:tcPr>
                  <w:tcW w:w="1555" w:type="dxa"/>
                  <w:shd w:val="clear" w:color="auto" w:fill="92CDDC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30" w:type="dxa"/>
                  <w:shd w:val="clear" w:color="auto" w:fill="9CC2E5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6</w:t>
                  </w:r>
                </w:p>
              </w:tc>
              <w:tc>
                <w:tcPr>
                  <w:tcW w:w="1224" w:type="dxa"/>
                  <w:shd w:val="clear" w:color="auto" w:fill="9CC2E5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9</w:t>
                  </w:r>
                </w:p>
              </w:tc>
              <w:tc>
                <w:tcPr>
                  <w:tcW w:w="817" w:type="dxa"/>
                  <w:shd w:val="clear" w:color="auto" w:fill="FF7C80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12</w:t>
                  </w:r>
                </w:p>
              </w:tc>
              <w:tc>
                <w:tcPr>
                  <w:tcW w:w="1606" w:type="dxa"/>
                  <w:shd w:val="clear" w:color="auto" w:fill="FF7C80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15</w:t>
                  </w:r>
                </w:p>
              </w:tc>
            </w:tr>
            <w:tr w:rsidR="00F04D25" w:rsidRPr="00417D71" w:rsidTr="007C1374">
              <w:trPr>
                <w:trHeight w:val="369"/>
              </w:trPr>
              <w:tc>
                <w:tcPr>
                  <w:tcW w:w="1636" w:type="dxa"/>
                  <w:vMerge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428" w:type="dxa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Unlikely (2)</w:t>
                  </w:r>
                </w:p>
              </w:tc>
              <w:tc>
                <w:tcPr>
                  <w:tcW w:w="1555" w:type="dxa"/>
                  <w:shd w:val="clear" w:color="auto" w:fill="92CDDC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30" w:type="dxa"/>
                  <w:shd w:val="clear" w:color="auto" w:fill="92CDDC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224" w:type="dxa"/>
                  <w:shd w:val="clear" w:color="auto" w:fill="9CC2E5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6</w:t>
                  </w:r>
                </w:p>
              </w:tc>
              <w:tc>
                <w:tcPr>
                  <w:tcW w:w="817" w:type="dxa"/>
                  <w:shd w:val="clear" w:color="auto" w:fill="9CC2E5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8</w:t>
                  </w:r>
                </w:p>
              </w:tc>
              <w:tc>
                <w:tcPr>
                  <w:tcW w:w="1606" w:type="dxa"/>
                  <w:shd w:val="clear" w:color="auto" w:fill="FF7C80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10</w:t>
                  </w:r>
                </w:p>
              </w:tc>
            </w:tr>
            <w:tr w:rsidR="00F04D25" w:rsidRPr="00417D71" w:rsidTr="007C1374">
              <w:trPr>
                <w:trHeight w:val="369"/>
              </w:trPr>
              <w:tc>
                <w:tcPr>
                  <w:tcW w:w="1636" w:type="dxa"/>
                  <w:vMerge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428" w:type="dxa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Rare (1)</w:t>
                  </w:r>
                </w:p>
              </w:tc>
              <w:tc>
                <w:tcPr>
                  <w:tcW w:w="1555" w:type="dxa"/>
                  <w:shd w:val="clear" w:color="auto" w:fill="92CDDC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0" w:type="dxa"/>
                  <w:shd w:val="clear" w:color="auto" w:fill="92CDDC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224" w:type="dxa"/>
                  <w:shd w:val="clear" w:color="auto" w:fill="92CDDC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17" w:type="dxa"/>
                  <w:shd w:val="clear" w:color="auto" w:fill="9CC2E5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606" w:type="dxa"/>
                  <w:shd w:val="clear" w:color="auto" w:fill="9CC2E5"/>
                  <w:vAlign w:val="center"/>
                </w:tcPr>
                <w:p w:rsidR="00F04D25" w:rsidRPr="00417D71" w:rsidRDefault="00F04D25" w:rsidP="007C1374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b/>
                      <w:szCs w:val="24"/>
                    </w:rPr>
                  </w:pPr>
                  <w:r w:rsidRPr="00417D71">
                    <w:rPr>
                      <w:rFonts w:ascii="Arial" w:eastAsia="Times New Roman" w:hAnsi="Arial" w:cs="Arial"/>
                      <w:b/>
                      <w:szCs w:val="24"/>
                    </w:rPr>
                    <w:t>5</w:t>
                  </w:r>
                </w:p>
              </w:tc>
            </w:tr>
          </w:tbl>
          <w:p w:rsidR="00F04D25" w:rsidRPr="00417D71" w:rsidRDefault="00F04D25" w:rsidP="007C1374">
            <w:pPr>
              <w:spacing w:after="120" w:line="240" w:lineRule="auto"/>
              <w:ind w:left="360"/>
              <w:rPr>
                <w:rFonts w:ascii="Arial" w:eastAsia="Times New Roman" w:hAnsi="Arial"/>
                <w:sz w:val="24"/>
                <w:szCs w:val="20"/>
              </w:rPr>
            </w:pPr>
          </w:p>
        </w:tc>
      </w:tr>
      <w:tr w:rsidR="00F04D25" w:rsidRPr="00417D71" w:rsidTr="007C1374">
        <w:trPr>
          <w:jc w:val="center"/>
        </w:trPr>
        <w:tc>
          <w:tcPr>
            <w:tcW w:w="10706" w:type="dxa"/>
            <w:gridSpan w:val="2"/>
            <w:tcBorders>
              <w:top w:val="single" w:sz="18" w:space="0" w:color="auto"/>
              <w:bottom w:val="double" w:sz="4" w:space="0" w:color="auto"/>
            </w:tcBorders>
          </w:tcPr>
          <w:p w:rsidR="00F04D25" w:rsidRPr="00417D71" w:rsidRDefault="00F04D25" w:rsidP="007C13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/>
                <w:b/>
                <w:sz w:val="12"/>
                <w:szCs w:val="20"/>
              </w:rPr>
            </w:pPr>
          </w:p>
          <w:p w:rsidR="00F04D25" w:rsidRPr="00417D71" w:rsidRDefault="00F04D25" w:rsidP="007C137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8"/>
                <w:szCs w:val="20"/>
              </w:rPr>
            </w:pPr>
            <w:r w:rsidRPr="00417D71">
              <w:rPr>
                <w:rFonts w:ascii="Arial" w:eastAsia="Times New Roman" w:hAnsi="Arial"/>
                <w:b/>
                <w:sz w:val="28"/>
                <w:szCs w:val="20"/>
              </w:rPr>
              <w:t>Safe Work Procedure</w:t>
            </w:r>
          </w:p>
          <w:p w:rsidR="00F04D25" w:rsidRPr="00417D71" w:rsidRDefault="00F04D25" w:rsidP="007C1374">
            <w:pPr>
              <w:spacing w:after="0" w:line="240" w:lineRule="auto"/>
              <w:rPr>
                <w:rFonts w:ascii="Arial" w:eastAsia="Times New Roman" w:hAnsi="Arial"/>
                <w:sz w:val="12"/>
                <w:szCs w:val="20"/>
              </w:rPr>
            </w:pPr>
          </w:p>
        </w:tc>
      </w:tr>
      <w:tr w:rsidR="00F04D25" w:rsidRPr="00417D71" w:rsidTr="00F04D25">
        <w:trPr>
          <w:trHeight w:val="1580"/>
          <w:jc w:val="center"/>
        </w:trPr>
        <w:tc>
          <w:tcPr>
            <w:tcW w:w="10706" w:type="dxa"/>
            <w:gridSpan w:val="2"/>
            <w:tcBorders>
              <w:top w:val="single" w:sz="18" w:space="0" w:color="auto"/>
              <w:bottom w:val="double" w:sz="4" w:space="0" w:color="auto"/>
            </w:tcBorders>
          </w:tcPr>
          <w:p w:rsidR="00F04D25" w:rsidRPr="00417D71" w:rsidRDefault="00F04D25" w:rsidP="007C1374">
            <w:pPr>
              <w:spacing w:after="0" w:line="240" w:lineRule="auto"/>
              <w:ind w:left="360"/>
              <w:rPr>
                <w:rFonts w:ascii="Arial" w:eastAsia="Times New Roman" w:hAnsi="Arial"/>
                <w:sz w:val="24"/>
                <w:szCs w:val="20"/>
              </w:rPr>
            </w:pPr>
          </w:p>
        </w:tc>
      </w:tr>
    </w:tbl>
    <w:p w:rsidR="00BA53CD" w:rsidRDefault="00BA53CD">
      <w:bookmarkStart w:id="0" w:name="_GoBack"/>
      <w:bookmarkEnd w:id="0"/>
    </w:p>
    <w:sectPr w:rsidR="00BA53CD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6C1" w:rsidRDefault="00F04D25" w:rsidP="004016C1">
    <w:pPr>
      <w:pStyle w:val="Footer"/>
      <w:pBdr>
        <w:bottom w:val="single" w:sz="12" w:space="1" w:color="auto"/>
      </w:pBdr>
      <w:rPr>
        <w:rFonts w:ascii="Calibri Light" w:hAnsi="Calibri Light"/>
        <w:sz w:val="20"/>
        <w:szCs w:val="20"/>
      </w:rPr>
    </w:pPr>
  </w:p>
  <w:p w:rsidR="004016C1" w:rsidRDefault="00F04D25" w:rsidP="009E3CDE">
    <w:pPr>
      <w:pStyle w:val="Footer"/>
      <w:contextualSpacing/>
      <w:rPr>
        <w:rFonts w:ascii="Calibri Light" w:hAnsi="Calibri Light"/>
        <w:sz w:val="20"/>
        <w:szCs w:val="20"/>
      </w:rPr>
    </w:pPr>
    <w:r w:rsidRPr="00250865">
      <w:rPr>
        <w:rFonts w:ascii="Calibri Light" w:hAnsi="Calibri Light"/>
        <w:sz w:val="20"/>
        <w:szCs w:val="20"/>
      </w:rPr>
      <w:t>AWARE-NS Safety Managemen</w:t>
    </w:r>
    <w:r>
      <w:rPr>
        <w:rFonts w:ascii="Calibri Light" w:hAnsi="Calibri Light"/>
        <w:sz w:val="20"/>
        <w:szCs w:val="20"/>
      </w:rPr>
      <w:t xml:space="preserve">t System                                                      </w:t>
    </w:r>
    <w:r w:rsidRPr="00250865">
      <w:rPr>
        <w:rFonts w:ascii="Calibri Light" w:hAnsi="Calibri Light"/>
        <w:sz w:val="20"/>
        <w:szCs w:val="20"/>
      </w:rPr>
      <w:t xml:space="preserve">Section </w:t>
    </w:r>
    <w:r>
      <w:rPr>
        <w:rFonts w:ascii="Calibri Light" w:hAnsi="Calibri Light"/>
        <w:sz w:val="20"/>
        <w:szCs w:val="20"/>
      </w:rPr>
      <w:t>7</w:t>
    </w:r>
    <w:r w:rsidRPr="00250865">
      <w:rPr>
        <w:rFonts w:ascii="Calibri Light" w:hAnsi="Calibri Light"/>
        <w:sz w:val="20"/>
        <w:szCs w:val="20"/>
      </w:rPr>
      <w:t xml:space="preserve">: </w:t>
    </w:r>
    <w:r>
      <w:rPr>
        <w:rFonts w:ascii="Calibri Light" w:hAnsi="Calibri Light"/>
        <w:sz w:val="20"/>
        <w:szCs w:val="20"/>
      </w:rPr>
      <w:t>Safe Work Procedures and Practices</w:t>
    </w:r>
  </w:p>
  <w:p w:rsidR="009E3CDE" w:rsidRPr="009E3CDE" w:rsidRDefault="00F04D25" w:rsidP="009E3CDE">
    <w:pPr>
      <w:pStyle w:val="Footer"/>
      <w:contextualSpacing/>
      <w:rPr>
        <w:rFonts w:ascii="Calibri Light" w:hAnsi="Calibri Light"/>
        <w:sz w:val="18"/>
        <w:szCs w:val="20"/>
      </w:rPr>
    </w:pPr>
    <w:r w:rsidRPr="009E3CDE">
      <w:rPr>
        <w:rFonts w:ascii="Calibri Light" w:hAnsi="Calibri Light"/>
        <w:sz w:val="20"/>
      </w:rPr>
      <w:t xml:space="preserve">Reviewed by: </w:t>
    </w:r>
    <w:r w:rsidRPr="009E3CDE">
      <w:rPr>
        <w:rFonts w:ascii="Calibri Light" w:hAnsi="Calibri Light"/>
        <w:sz w:val="20"/>
      </w:rPr>
      <w:softHyphen/>
    </w:r>
    <w:r w:rsidRPr="009E3CDE">
      <w:rPr>
        <w:rFonts w:ascii="Calibri Light" w:hAnsi="Calibri Light"/>
        <w:sz w:val="20"/>
      </w:rPr>
      <w:softHyphen/>
    </w:r>
    <w:r w:rsidRPr="009E3CDE">
      <w:rPr>
        <w:rFonts w:ascii="Calibri Light" w:hAnsi="Calibri Light"/>
        <w:sz w:val="20"/>
      </w:rPr>
      <w:softHyphen/>
    </w:r>
    <w:r w:rsidRPr="009E3CDE">
      <w:rPr>
        <w:rFonts w:ascii="Calibri Light" w:hAnsi="Calibri Light"/>
        <w:sz w:val="20"/>
      </w:rPr>
      <w:softHyphen/>
    </w:r>
    <w:r w:rsidRPr="009E3CDE">
      <w:rPr>
        <w:rFonts w:ascii="Calibri Light" w:hAnsi="Calibri Light"/>
        <w:sz w:val="20"/>
      </w:rPr>
      <w:softHyphen/>
      <w:t xml:space="preserve">_____________________                          </w:t>
    </w:r>
    <w:r>
      <w:rPr>
        <w:rFonts w:ascii="Calibri Light" w:hAnsi="Calibri Light"/>
        <w:sz w:val="20"/>
      </w:rPr>
      <w:t xml:space="preserve">                          </w:t>
    </w:r>
    <w:r>
      <w:rPr>
        <w:rFonts w:ascii="Calibri Light" w:hAnsi="Calibri Light"/>
        <w:sz w:val="20"/>
      </w:rPr>
      <w:t xml:space="preserve"> </w:t>
    </w:r>
    <w:r w:rsidRPr="009E3CDE">
      <w:rPr>
        <w:rFonts w:ascii="Calibri Light" w:hAnsi="Calibri Light"/>
        <w:sz w:val="20"/>
      </w:rPr>
      <w:t>Review Date:</w:t>
    </w:r>
    <w:r>
      <w:rPr>
        <w:rFonts w:ascii="Calibri Light" w:hAnsi="Calibri Light"/>
        <w:sz w:val="20"/>
      </w:rPr>
      <w:t xml:space="preserve"> __________________________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6C1" w:rsidRDefault="00F04D25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016C1" w:rsidRDefault="00F04D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F072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BA5799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051443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25"/>
    <w:rsid w:val="00BA53CD"/>
    <w:rsid w:val="00F0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70C50"/>
  <w15:chartTrackingRefBased/>
  <w15:docId w15:val="{E186C552-3A31-4452-BA9D-8B2E4FDA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D2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4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D2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nhideWhenUsed/>
    <w:rsid w:val="00F04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4D2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Baretta</dc:creator>
  <cp:keywords/>
  <dc:description/>
  <cp:lastModifiedBy>Alan Baretta</cp:lastModifiedBy>
  <cp:revision>1</cp:revision>
  <cp:lastPrinted>2023-01-04T15:13:00Z</cp:lastPrinted>
  <dcterms:created xsi:type="dcterms:W3CDTF">2023-01-04T15:12:00Z</dcterms:created>
  <dcterms:modified xsi:type="dcterms:W3CDTF">2023-01-04T15:14:00Z</dcterms:modified>
</cp:coreProperties>
</file>